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A6E2D" w14:textId="77777777" w:rsidR="00F56D11" w:rsidRDefault="00F56D11" w:rsidP="00542461">
      <w:pPr>
        <w:pStyle w:val="NormalWeb"/>
        <w:spacing w:before="0" w:beforeAutospacing="0" w:after="0"/>
        <w:jc w:val="center"/>
        <w:rPr>
          <w:rFonts w:ascii="Calibri" w:hAnsi="Calibri" w:cs="Arial"/>
          <w:b/>
          <w:bCs/>
          <w:color w:val="002060"/>
          <w:sz w:val="40"/>
        </w:rPr>
      </w:pPr>
      <w:r>
        <w:rPr>
          <w:noProof/>
        </w:rPr>
        <w:drawing>
          <wp:inline distT="0" distB="0" distL="0" distR="0" wp14:anchorId="0F97CB4F" wp14:editId="4D5F57C9">
            <wp:extent cx="2609850" cy="1343025"/>
            <wp:effectExtent l="0" t="0" r="0" b="0"/>
            <wp:docPr id="111867361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609850" cy="1343025"/>
                    </a:xfrm>
                    <a:prstGeom prst="rect">
                      <a:avLst/>
                    </a:prstGeom>
                  </pic:spPr>
                </pic:pic>
              </a:graphicData>
            </a:graphic>
          </wp:inline>
        </w:drawing>
      </w:r>
    </w:p>
    <w:p w14:paraId="6A719F6B" w14:textId="2A48BE0A" w:rsidR="00F56D11" w:rsidRPr="006C3B14" w:rsidRDefault="00F56D11" w:rsidP="00542461">
      <w:pPr>
        <w:pStyle w:val="Title1"/>
      </w:pPr>
      <w:bookmarkStart w:id="0" w:name="_Hlk53400815"/>
      <w:r>
        <w:t>TRANSITION OF CARE</w:t>
      </w:r>
      <w:r w:rsidRPr="006C3B14">
        <w:t xml:space="preserve"> POLICY AND PROCEDURE</w:t>
      </w:r>
      <w:r>
        <w:t>S</w:t>
      </w:r>
    </w:p>
    <w:bookmarkEnd w:id="0"/>
    <w:p w14:paraId="23FDBB5E" w14:textId="711A22B2" w:rsidR="00F56D11" w:rsidRPr="00B2651A" w:rsidRDefault="00F56D11" w:rsidP="00542461">
      <w:pPr>
        <w:pStyle w:val="Title2"/>
      </w:pPr>
      <w:r w:rsidRPr="00B2651A">
        <w:t xml:space="preserve">Effective </w:t>
      </w:r>
      <w:r>
        <w:t>February 2021</w:t>
      </w:r>
    </w:p>
    <w:p w14:paraId="5194261D" w14:textId="77777777" w:rsidR="00F56D11" w:rsidRPr="00B2651A" w:rsidRDefault="00F56D11" w:rsidP="004C7939">
      <w:pPr>
        <w:pStyle w:val="NormalWeb"/>
        <w:spacing w:before="240" w:beforeAutospacing="0" w:after="240"/>
        <w:rPr>
          <w:rFonts w:ascii="Calibri" w:hAnsi="Calibri" w:cs="Arial"/>
          <w:bCs/>
          <w:color w:val="002060"/>
          <w:sz w:val="28"/>
        </w:rPr>
      </w:pPr>
      <w:r w:rsidRPr="00B2651A">
        <w:rPr>
          <w:rFonts w:ascii="Calibri" w:hAnsi="Calibri" w:cs="Arial"/>
          <w:b/>
          <w:bCs/>
          <w:color w:val="002060"/>
          <w:sz w:val="28"/>
        </w:rPr>
        <w:t>POLICY</w:t>
      </w:r>
    </w:p>
    <w:p w14:paraId="46BB8F1F" w14:textId="7D6E4074" w:rsidR="00F56D11" w:rsidRPr="00F56D11" w:rsidRDefault="00F56D11" w:rsidP="004C7939">
      <w:pPr>
        <w:spacing w:after="0" w:line="240" w:lineRule="auto"/>
        <w:rPr>
          <w:rFonts w:ascii="Calibri" w:hAnsi="Calibri" w:cs="Arial"/>
          <w:b/>
          <w:bCs/>
          <w:color w:val="000000"/>
          <w:sz w:val="24"/>
          <w:szCs w:val="24"/>
        </w:rPr>
      </w:pPr>
      <w:r w:rsidRPr="00F56D11">
        <w:rPr>
          <w:rFonts w:ascii="Calibri" w:hAnsi="Calibri" w:cs="Arial"/>
          <w:b/>
          <w:bCs/>
          <w:color w:val="000000"/>
          <w:sz w:val="24"/>
          <w:szCs w:val="24"/>
        </w:rPr>
        <w:t>Family Dental Care, Inc. (FDCi) </w:t>
      </w:r>
      <w:r w:rsidRPr="00F56D11">
        <w:rPr>
          <w:rFonts w:ascii="Calibri" w:hAnsi="Calibri" w:cs="Arial"/>
          <w:color w:val="000000"/>
          <w:sz w:val="24"/>
          <w:szCs w:val="24"/>
        </w:rPr>
        <w:t>will support transition of care for members with serious health issues who are transitioning dental coverage. This includes a member transitioning from FFS to FDCi, or FDCi to FFS, or FDCi to another dental care organization.</w:t>
      </w:r>
    </w:p>
    <w:p w14:paraId="43D023F0" w14:textId="77777777" w:rsidR="00F56D11" w:rsidRDefault="00F56D11" w:rsidP="004C7939">
      <w:pPr>
        <w:spacing w:after="0" w:line="240" w:lineRule="auto"/>
        <w:rPr>
          <w:rFonts w:ascii="Calibri" w:hAnsi="Calibri" w:cs="Calibri"/>
          <w:sz w:val="24"/>
          <w:szCs w:val="24"/>
        </w:rPr>
      </w:pPr>
    </w:p>
    <w:p w14:paraId="22FF7F43" w14:textId="77777777" w:rsidR="00F56D11" w:rsidRPr="00B2651A" w:rsidRDefault="00F56D11" w:rsidP="004C7939">
      <w:pPr>
        <w:pStyle w:val="NormalWeb"/>
        <w:spacing w:before="240" w:beforeAutospacing="0" w:after="240"/>
        <w:rPr>
          <w:rFonts w:ascii="Calibri" w:hAnsi="Calibri" w:cs="Arial"/>
          <w:color w:val="002060"/>
          <w:sz w:val="28"/>
        </w:rPr>
      </w:pPr>
      <w:r w:rsidRPr="00B2651A">
        <w:rPr>
          <w:rFonts w:ascii="Calibri" w:hAnsi="Calibri" w:cs="Arial"/>
          <w:b/>
          <w:bCs/>
          <w:color w:val="002060"/>
          <w:sz w:val="28"/>
        </w:rPr>
        <w:t>PROCEDURE(S)</w:t>
      </w:r>
    </w:p>
    <w:p w14:paraId="7F00157F" w14:textId="09AB8EB7" w:rsidR="00F56D11" w:rsidRPr="00F56D11" w:rsidRDefault="00F56D11" w:rsidP="004C7939">
      <w:pPr>
        <w:pStyle w:val="NormalWeb"/>
        <w:rPr>
          <w:rFonts w:ascii="Calibri" w:hAnsi="Calibri" w:cs="Arial"/>
        </w:rPr>
      </w:pPr>
      <w:r w:rsidRPr="00F56D11">
        <w:rPr>
          <w:rFonts w:ascii="Calibri" w:hAnsi="Calibri" w:cs="Arial"/>
        </w:rPr>
        <w:t>Some members who change/transition OHP dental coverage can still get the same services and see the same providers.</w:t>
      </w:r>
    </w:p>
    <w:p w14:paraId="4145AB36" w14:textId="158EBD9A" w:rsidR="00F56D11" w:rsidRPr="00F56D11" w:rsidRDefault="00F56D11" w:rsidP="004C7939">
      <w:pPr>
        <w:pStyle w:val="NormalWeb"/>
        <w:rPr>
          <w:rFonts w:ascii="Calibri" w:hAnsi="Calibri" w:cs="Arial"/>
        </w:rPr>
      </w:pPr>
      <w:r w:rsidRPr="00F56D11">
        <w:rPr>
          <w:rFonts w:ascii="Calibri" w:hAnsi="Calibri" w:cs="Arial"/>
        </w:rPr>
        <w:t>This means care may not change when the member changes dental plans or moves to/from OHP fee-for-service.</w:t>
      </w:r>
    </w:p>
    <w:p w14:paraId="28C61D0C" w14:textId="200C7C7D" w:rsidR="00F56D11" w:rsidRPr="00F56D11" w:rsidRDefault="00F56D11" w:rsidP="004C7939">
      <w:pPr>
        <w:pStyle w:val="NormalWeb"/>
        <w:rPr>
          <w:rFonts w:ascii="Calibri" w:hAnsi="Calibri" w:cs="Arial"/>
        </w:rPr>
      </w:pPr>
      <w:r w:rsidRPr="00F56D11">
        <w:rPr>
          <w:rFonts w:ascii="Calibri" w:hAnsi="Calibri" w:cs="Arial"/>
        </w:rPr>
        <w:t>If a member has serious health issues, FDCi (if the new and/or old coverage/plan) will work together with the member, and others (as applicable) to make sure the member gets the dental services needed.</w:t>
      </w:r>
    </w:p>
    <w:p w14:paraId="53551473" w14:textId="1A107C16" w:rsidR="00F56D11" w:rsidRPr="00F56D11" w:rsidRDefault="00F56D11" w:rsidP="004C7939">
      <w:pPr>
        <w:pStyle w:val="NormalWeb"/>
        <w:rPr>
          <w:rFonts w:ascii="Calibri" w:hAnsi="Calibri" w:cs="Arial"/>
        </w:rPr>
      </w:pPr>
      <w:r w:rsidRPr="00F56D11">
        <w:rPr>
          <w:rFonts w:ascii="Calibri" w:hAnsi="Calibri" w:cs="Arial"/>
        </w:rPr>
        <w:t>This help is for members who have serious health issues and who may need hospital care, inpatient mental health care, and/or become institutionalized. For example, members who need transplant services, radiation, and/or chemotherapy services, as well as dental services.</w:t>
      </w:r>
    </w:p>
    <w:p w14:paraId="01FE575F" w14:textId="73ADC44B" w:rsidR="00F56D11" w:rsidRPr="00F56D11" w:rsidRDefault="00F56D11" w:rsidP="004C7939">
      <w:pPr>
        <w:pStyle w:val="NormalWeb"/>
        <w:rPr>
          <w:rFonts w:ascii="Calibri" w:hAnsi="Calibri" w:cs="Arial"/>
        </w:rPr>
      </w:pPr>
      <w:r w:rsidRPr="00F56D11">
        <w:rPr>
          <w:rFonts w:ascii="Calibri" w:hAnsi="Calibri" w:cs="Arial"/>
        </w:rPr>
        <w:t>If a member needs dental care while transitioning dental coverage, he/she, or a representative should call Customer Service </w:t>
      </w:r>
      <w:r w:rsidRPr="008529CA">
        <w:rPr>
          <w:rFonts w:ascii="Calibri" w:hAnsi="Calibri" w:cs="Arial"/>
        </w:rPr>
        <w:t xml:space="preserve">at </w:t>
      </w:r>
      <w:r w:rsidR="008529CA" w:rsidRPr="008529CA">
        <w:rPr>
          <w:rFonts w:ascii="Calibri" w:hAnsi="Calibri" w:cs="Arial"/>
          <w:b/>
          <w:bCs/>
        </w:rPr>
        <w:t>(503) 644-2663</w:t>
      </w:r>
      <w:r w:rsidR="008529CA">
        <w:rPr>
          <w:rFonts w:ascii="Calibri" w:hAnsi="Calibri" w:cs="Arial"/>
          <w:b/>
          <w:bCs/>
        </w:rPr>
        <w:t xml:space="preserve">. </w:t>
      </w:r>
      <w:r w:rsidRPr="008529CA">
        <w:rPr>
          <w:rFonts w:ascii="Calibri" w:hAnsi="Calibri" w:cs="Arial"/>
        </w:rPr>
        <w:t>FDCi’s </w:t>
      </w:r>
      <w:r w:rsidRPr="00F56D11">
        <w:rPr>
          <w:rFonts w:ascii="Calibri" w:hAnsi="Calibri" w:cs="Arial"/>
        </w:rPr>
        <w:t>office is open Monday through Friday, 9:00 a.m. to 5:00 p.m. PST. TTY users, please call</w:t>
      </w:r>
      <w:r w:rsidR="008529CA">
        <w:rPr>
          <w:rFonts w:ascii="Calibri" w:hAnsi="Calibri" w:cs="Arial"/>
        </w:rPr>
        <w:t xml:space="preserve"> </w:t>
      </w:r>
      <w:r w:rsidR="008529CA">
        <w:rPr>
          <w:rFonts w:ascii="Calibri" w:hAnsi="Calibri" w:cs="Arial"/>
          <w:b/>
          <w:bCs/>
        </w:rPr>
        <w:t xml:space="preserve">1(888) 350-0966 </w:t>
      </w:r>
      <w:r w:rsidR="008529CA" w:rsidRPr="008529CA">
        <w:rPr>
          <w:rFonts w:ascii="Calibri" w:hAnsi="Calibri" w:cs="Arial"/>
        </w:rPr>
        <w:t>TTY</w:t>
      </w:r>
      <w:r w:rsidRPr="008529CA">
        <w:rPr>
          <w:rFonts w:ascii="Calibri" w:hAnsi="Calibri" w:cs="Arial"/>
          <w:b/>
          <w:bCs/>
        </w:rPr>
        <w:t xml:space="preserve"> 711</w:t>
      </w:r>
      <w:r w:rsidRPr="00F56D11">
        <w:rPr>
          <w:rFonts w:ascii="Calibri" w:hAnsi="Calibri" w:cs="Arial"/>
        </w:rPr>
        <w:t>.</w:t>
      </w:r>
    </w:p>
    <w:p w14:paraId="156A97F4" w14:textId="7A423E5A" w:rsidR="00F56D11" w:rsidRPr="00F56D11" w:rsidRDefault="00F56D11" w:rsidP="004C7939">
      <w:pPr>
        <w:pStyle w:val="NormalWeb"/>
        <w:rPr>
          <w:rFonts w:ascii="Calibri" w:hAnsi="Calibri" w:cs="Arial"/>
        </w:rPr>
      </w:pPr>
      <w:r w:rsidRPr="00F56D11">
        <w:rPr>
          <w:rFonts w:ascii="Calibri" w:hAnsi="Calibri" w:cs="Arial"/>
        </w:rPr>
        <w:t>The type of help that FDCi can provide (as applicable) in supporting a member’s transition of care are:</w:t>
      </w:r>
    </w:p>
    <w:p w14:paraId="35542736" w14:textId="5A5EFD47" w:rsidR="00F56D11" w:rsidRPr="00F56D11" w:rsidRDefault="00F56D11" w:rsidP="004C7939">
      <w:pPr>
        <w:pStyle w:val="NormalWeb"/>
        <w:rPr>
          <w:rFonts w:ascii="Calibri" w:hAnsi="Calibri" w:cs="Arial"/>
        </w:rPr>
      </w:pPr>
      <w:r w:rsidRPr="00F56D11">
        <w:rPr>
          <w:rFonts w:ascii="Calibri" w:hAnsi="Calibri" w:cs="Arial"/>
        </w:rPr>
        <w:t>If the member was seeing a dental provider under the old coverage who is in FDCi’s network and wishes to continue we will support continuity of care for the member to continue seeing that provider.</w:t>
      </w:r>
    </w:p>
    <w:p w14:paraId="78711C9A" w14:textId="09276CEE" w:rsidR="00F56D11" w:rsidRPr="00F56D11" w:rsidRDefault="00F56D11" w:rsidP="004C7939">
      <w:pPr>
        <w:pStyle w:val="NormalWeb"/>
        <w:rPr>
          <w:rFonts w:ascii="Calibri" w:hAnsi="Calibri" w:cs="Arial"/>
        </w:rPr>
      </w:pPr>
      <w:r w:rsidRPr="00F56D11">
        <w:rPr>
          <w:rFonts w:ascii="Calibri" w:hAnsi="Calibri" w:cs="Arial"/>
        </w:rPr>
        <w:t>FDCi will make appropriate referrals to providers in network for a transitioning member’s care.</w:t>
      </w:r>
    </w:p>
    <w:p w14:paraId="266345EB" w14:textId="488A9BA9" w:rsidR="00F56D11" w:rsidRPr="00F56D11" w:rsidRDefault="00F56D11" w:rsidP="004C7939">
      <w:pPr>
        <w:pStyle w:val="NormalWeb"/>
        <w:rPr>
          <w:rFonts w:ascii="Calibri" w:hAnsi="Calibri" w:cs="Arial"/>
        </w:rPr>
      </w:pPr>
      <w:r w:rsidRPr="00F56D11">
        <w:rPr>
          <w:rFonts w:ascii="Calibri" w:hAnsi="Calibri" w:cs="Arial"/>
        </w:rPr>
        <w:t xml:space="preserve">If the member was seeing a provider not in FDCi’s network and to provide access to services consistent with what the member previously had, FDCi is willing to consider approving the member continuing to see this out </w:t>
      </w:r>
      <w:r w:rsidRPr="00F56D11">
        <w:rPr>
          <w:rFonts w:ascii="Calibri" w:hAnsi="Calibri" w:cs="Arial"/>
        </w:rPr>
        <w:lastRenderedPageBreak/>
        <w:t>of network provider for a period of time. The out of network dentist will need to meet OHP provider credentialing requirements, sign a FDCi single care agreement, and agree to accept FDCi fees.</w:t>
      </w:r>
    </w:p>
    <w:p w14:paraId="497E1985" w14:textId="4E80B1B7" w:rsidR="00F56D11" w:rsidRPr="00F56D11" w:rsidRDefault="00F56D11" w:rsidP="004C7939">
      <w:pPr>
        <w:pStyle w:val="NormalWeb"/>
        <w:rPr>
          <w:rFonts w:ascii="Calibri" w:hAnsi="Calibri" w:cs="Arial"/>
        </w:rPr>
      </w:pPr>
      <w:r w:rsidRPr="00F56D11">
        <w:rPr>
          <w:rFonts w:ascii="Calibri" w:hAnsi="Calibri" w:cs="Arial"/>
        </w:rPr>
        <w:t>FDCi will assist a member transitioning to our coverage who needs continued dental services to be seen timely by an FDCi dentist, </w:t>
      </w:r>
      <w:r w:rsidR="00160DE2" w:rsidRPr="00F56D11">
        <w:rPr>
          <w:rFonts w:ascii="Calibri" w:hAnsi="Calibri" w:cs="Arial"/>
        </w:rPr>
        <w:t>to</w:t>
      </w:r>
      <w:r w:rsidRPr="00F56D11">
        <w:rPr>
          <w:rFonts w:ascii="Calibri" w:hAnsi="Calibri" w:cs="Arial"/>
        </w:rPr>
        <w:t> minimize any breaks in care.</w:t>
      </w:r>
    </w:p>
    <w:p w14:paraId="05A5D24B" w14:textId="10B11DCD" w:rsidR="00F56D11" w:rsidRPr="00F56D11" w:rsidRDefault="00F56D11" w:rsidP="004C7939">
      <w:pPr>
        <w:pStyle w:val="NormalWeb"/>
        <w:rPr>
          <w:rFonts w:ascii="Calibri" w:hAnsi="Calibri" w:cs="Arial"/>
        </w:rPr>
      </w:pPr>
      <w:r w:rsidRPr="00F56D11">
        <w:rPr>
          <w:rFonts w:ascii="Calibri" w:hAnsi="Calibri" w:cs="Arial"/>
        </w:rPr>
        <w:t>FDCi will provide care coordination services and assist a member transitioning to obtain/transfer dental records as applicable to the appropriate parties. This includes</w:t>
      </w:r>
      <w:r w:rsidR="004C7939">
        <w:rPr>
          <w:rFonts w:ascii="Calibri" w:hAnsi="Calibri" w:cs="Arial"/>
        </w:rPr>
        <w:t xml:space="preserve"> </w:t>
      </w:r>
      <w:r w:rsidRPr="00F56D11">
        <w:rPr>
          <w:rFonts w:ascii="Calibri" w:hAnsi="Calibri" w:cs="Arial"/>
        </w:rPr>
        <w:t>electronic data exchanges as required/applicable.</w:t>
      </w:r>
    </w:p>
    <w:p w14:paraId="45814BF5" w14:textId="75D0F1F3" w:rsidR="00F56D11" w:rsidRPr="00F56D11" w:rsidRDefault="00F56D11" w:rsidP="004C7939">
      <w:pPr>
        <w:pStyle w:val="NormalWeb"/>
        <w:rPr>
          <w:rFonts w:ascii="Calibri" w:hAnsi="Calibri" w:cs="Arial"/>
        </w:rPr>
      </w:pPr>
      <w:r w:rsidRPr="00F56D11">
        <w:rPr>
          <w:rFonts w:ascii="Calibri" w:hAnsi="Calibri" w:cs="Arial"/>
        </w:rPr>
        <w:t>If the member transitioning received a written prior authorization (PA) under the old coverage for ongoing dental services and it is determined dentally appropriate by FDCi’s dental director, we will honor a previous PA without the member needing to obtain a new one.</w:t>
      </w:r>
    </w:p>
    <w:p w14:paraId="0C4BBF23" w14:textId="6BDEE51F" w:rsidR="00F56D11" w:rsidRPr="00F56D11" w:rsidRDefault="00F56D11" w:rsidP="004C7939">
      <w:pPr>
        <w:pStyle w:val="NormalWeb"/>
        <w:rPr>
          <w:rFonts w:ascii="Calibri" w:hAnsi="Calibri" w:cs="Arial"/>
        </w:rPr>
      </w:pPr>
      <w:r w:rsidRPr="00F56D11">
        <w:rPr>
          <w:rFonts w:ascii="Calibri" w:hAnsi="Calibri" w:cs="Arial"/>
        </w:rPr>
        <w:t>The member will need to obtain the PA ongoing dental services from a FDCi provider willing to do the proposed treatment. Each dental provider is responsible under his/her license to diagnose treatment. There can be differences among dentists in treatment planning, and a dentist cannot be forced to do treatment diagnosed by another dentist.</w:t>
      </w:r>
    </w:p>
    <w:p w14:paraId="50F05FFB" w14:textId="6108BB30" w:rsidR="00F56D11" w:rsidRPr="00F56D11" w:rsidRDefault="00F56D11" w:rsidP="004C7939">
      <w:pPr>
        <w:pStyle w:val="NormalWeb"/>
        <w:rPr>
          <w:rFonts w:ascii="Calibri" w:hAnsi="Calibri" w:cs="Arial"/>
        </w:rPr>
      </w:pPr>
      <w:r w:rsidRPr="00F56D11">
        <w:rPr>
          <w:rFonts w:ascii="Calibri" w:hAnsi="Calibri" w:cs="Arial"/>
        </w:rPr>
        <w:t>If FDCi does not have a willing dentist, we are willing to consider an out of network dentist. The out of network dentist will need to meet OHP provider credentialing requirements, sign a FDCi single care agreement, and agree to accept FDCi fees.</w:t>
      </w:r>
    </w:p>
    <w:p w14:paraId="309EF7DA" w14:textId="2702140E" w:rsidR="00F56D11" w:rsidRPr="00F56D11" w:rsidRDefault="00F56D11" w:rsidP="004C7939">
      <w:pPr>
        <w:pStyle w:val="NormalWeb"/>
        <w:rPr>
          <w:rFonts w:ascii="Calibri" w:hAnsi="Calibri" w:cs="Arial"/>
        </w:rPr>
      </w:pPr>
      <w:r w:rsidRPr="00F56D11">
        <w:rPr>
          <w:rFonts w:ascii="Calibri" w:hAnsi="Calibri" w:cs="Arial"/>
        </w:rPr>
        <w:t>If the member has not seen a dentist under the old plan and has dental needs that cannot wait, FDCi will provide care coordination to ensure the member is seen in a timely manner for dentally appropriate care.</w:t>
      </w:r>
    </w:p>
    <w:p w14:paraId="5D972D9A" w14:textId="15C81AFB" w:rsidR="00F56D11" w:rsidRPr="00F56D11" w:rsidRDefault="00F56D11" w:rsidP="004C7939">
      <w:pPr>
        <w:pStyle w:val="NormalWeb"/>
        <w:rPr>
          <w:rFonts w:ascii="Calibri" w:hAnsi="Calibri" w:cs="Arial"/>
        </w:rPr>
      </w:pPr>
      <w:r w:rsidRPr="00F56D11">
        <w:rPr>
          <w:rFonts w:ascii="Calibri" w:hAnsi="Calibri" w:cs="Arial"/>
        </w:rPr>
        <w:t>FDCi will provide care coordination services to support and ensure continued access to dental services to prevent serious detriment to the member’s health or reduce the risk of hospitalization or institutionalization.</w:t>
      </w:r>
    </w:p>
    <w:p w14:paraId="0BBD4AC2" w14:textId="38BFC402" w:rsidR="00F56D11" w:rsidRPr="00F56D11" w:rsidRDefault="00F56D11" w:rsidP="004C7939">
      <w:pPr>
        <w:pStyle w:val="NormalWeb"/>
        <w:rPr>
          <w:rFonts w:ascii="Calibri" w:hAnsi="Calibri" w:cs="Arial"/>
        </w:rPr>
      </w:pPr>
      <w:r w:rsidRPr="00F56D11">
        <w:rPr>
          <w:rFonts w:ascii="Calibri" w:hAnsi="Calibri" w:cs="Arial"/>
        </w:rPr>
        <w:t>FDCi’s will include a link to our Transition of Care Policy and Procedures posted on our website in the FDCi Member Handbook.</w:t>
      </w:r>
    </w:p>
    <w:p w14:paraId="539A4D7D" w14:textId="77777777" w:rsidR="00F56D11" w:rsidRPr="0021282A" w:rsidRDefault="00F56D11" w:rsidP="004C7939">
      <w:pPr>
        <w:pStyle w:val="Heading1"/>
      </w:pPr>
      <w:r>
        <w:t>FDC</w:t>
      </w:r>
      <w:r>
        <w:rPr>
          <w:caps w:val="0"/>
        </w:rPr>
        <w:t>i</w:t>
      </w:r>
      <w:r>
        <w:t xml:space="preserve"> </w:t>
      </w:r>
      <w:r w:rsidRPr="0021282A">
        <w:t>EXECUTIVE APPROVAL</w:t>
      </w:r>
    </w:p>
    <w:p w14:paraId="619B97D7" w14:textId="1E5E0DDF" w:rsidR="00F56D11" w:rsidRPr="00ED5986" w:rsidRDefault="00F56D11" w:rsidP="004C7939">
      <w:pPr>
        <w:rPr>
          <w:bCs/>
          <w:color w:val="0D0D0D"/>
          <w:sz w:val="24"/>
          <w:szCs w:val="24"/>
        </w:rPr>
      </w:pPr>
      <w:r w:rsidRPr="00F87464">
        <w:rPr>
          <w:rFonts w:ascii="Calibri" w:hAnsi="Calibri" w:cs="Calibri"/>
          <w:color w:val="000000" w:themeColor="text1"/>
          <w:sz w:val="24"/>
          <w:szCs w:val="24"/>
        </w:rPr>
        <w:t xml:space="preserve">Contents of the </w:t>
      </w:r>
      <w:r w:rsidRPr="00ED5986">
        <w:rPr>
          <w:rFonts w:ascii="Calibri" w:hAnsi="Calibri" w:cs="Calibri"/>
          <w:color w:val="000000" w:themeColor="text1"/>
          <w:sz w:val="24"/>
          <w:szCs w:val="24"/>
        </w:rPr>
        <w:t xml:space="preserve">above </w:t>
      </w:r>
      <w:r w:rsidRPr="002D1306">
        <w:rPr>
          <w:rFonts w:ascii="Calibri" w:hAnsi="Calibri" w:cs="Calibri"/>
          <w:b/>
          <w:bCs/>
          <w:i/>
          <w:color w:val="002060"/>
          <w:sz w:val="24"/>
        </w:rPr>
        <w:t>FDCi</w:t>
      </w:r>
      <w:r w:rsidRPr="002D1306">
        <w:rPr>
          <w:rFonts w:ascii="Calibri" w:hAnsi="Calibri" w:cs="Calibri"/>
          <w:i/>
          <w:color w:val="002060"/>
          <w:sz w:val="24"/>
        </w:rPr>
        <w:t xml:space="preserve"> </w:t>
      </w:r>
      <w:r w:rsidR="00F75B56">
        <w:rPr>
          <w:rFonts w:ascii="Calibri" w:hAnsi="Calibri" w:cs="Calibri"/>
          <w:i/>
          <w:color w:val="000000" w:themeColor="text1"/>
          <w:sz w:val="24"/>
        </w:rPr>
        <w:t>Transition of Care</w:t>
      </w:r>
      <w:r w:rsidRPr="00CD4A5F">
        <w:rPr>
          <w:rFonts w:ascii="Calibri" w:hAnsi="Calibri" w:cs="Calibri"/>
          <w:b/>
          <w:bCs/>
          <w:i/>
          <w:color w:val="000000" w:themeColor="text1"/>
          <w:sz w:val="24"/>
        </w:rPr>
        <w:t xml:space="preserve"> </w:t>
      </w:r>
      <w:r w:rsidRPr="00ED5986">
        <w:rPr>
          <w:rFonts w:ascii="Calibri" w:hAnsi="Calibri" w:cs="Calibri"/>
          <w:i/>
          <w:color w:val="000000" w:themeColor="text1"/>
          <w:sz w:val="24"/>
        </w:rPr>
        <w:t>Policies and Procedure</w:t>
      </w:r>
      <w:r w:rsidR="00F75B56">
        <w:rPr>
          <w:rFonts w:ascii="Calibri" w:hAnsi="Calibri" w:cs="Calibri"/>
          <w:i/>
          <w:color w:val="000000" w:themeColor="text1"/>
          <w:sz w:val="24"/>
        </w:rPr>
        <w:t>s</w:t>
      </w:r>
      <w:r w:rsidRPr="00ED5986">
        <w:rPr>
          <w:rFonts w:ascii="Calibri" w:hAnsi="Calibri" w:cs="Calibri"/>
          <w:i/>
          <w:color w:val="000000" w:themeColor="text1"/>
          <w:sz w:val="24"/>
        </w:rPr>
        <w:t xml:space="preserve"> </w:t>
      </w:r>
      <w:r w:rsidRPr="00ED5986">
        <w:rPr>
          <w:rFonts w:ascii="Calibri" w:hAnsi="Calibri" w:cs="Calibri"/>
          <w:color w:val="000000" w:themeColor="text1"/>
          <w:sz w:val="24"/>
        </w:rPr>
        <w:t>document</w:t>
      </w:r>
      <w:r w:rsidRPr="00ED5986">
        <w:rPr>
          <w:rFonts w:ascii="Calibri" w:hAnsi="Calibri" w:cs="Calibri"/>
          <w:color w:val="000000" w:themeColor="text1"/>
          <w:sz w:val="24"/>
          <w:szCs w:val="24"/>
        </w:rPr>
        <w:t xml:space="preserve"> have been reviewed, </w:t>
      </w:r>
      <w:r w:rsidRPr="00ED5986">
        <w:rPr>
          <w:rFonts w:ascii="Calibri" w:hAnsi="Calibri" w:cs="Calibri"/>
          <w:color w:val="0D0D0D" w:themeColor="text1" w:themeTint="F2"/>
          <w:sz w:val="24"/>
          <w:szCs w:val="24"/>
        </w:rPr>
        <w:t xml:space="preserve">modified if necessary. </w:t>
      </w:r>
      <w:r w:rsidRPr="00ED5986">
        <w:rPr>
          <w:color w:val="0D0D0D"/>
          <w:sz w:val="24"/>
          <w:szCs w:val="24"/>
        </w:rPr>
        <w:t xml:space="preserve">After approval they are presented to the </w:t>
      </w:r>
      <w:r w:rsidRPr="00ED5986">
        <w:rPr>
          <w:bCs/>
          <w:color w:val="0D0D0D"/>
          <w:sz w:val="24"/>
          <w:szCs w:val="24"/>
        </w:rPr>
        <w:t>FDCi Quality Improvement Committee.</w:t>
      </w:r>
    </w:p>
    <w:p w14:paraId="291CEE5F" w14:textId="77777777" w:rsidR="00F56D11" w:rsidRPr="00ED5986" w:rsidRDefault="00F56D11" w:rsidP="004C7939">
      <w:pPr>
        <w:pStyle w:val="ListBullet"/>
        <w:spacing w:after="0" w:line="240" w:lineRule="auto"/>
        <w:rPr>
          <w:bCs/>
          <w:color w:val="0D0D0D"/>
          <w:sz w:val="24"/>
          <w:szCs w:val="24"/>
        </w:rPr>
      </w:pPr>
      <w:r w:rsidRPr="00ED5986">
        <w:rPr>
          <w:bCs/>
          <w:color w:val="0D0D0D"/>
          <w:sz w:val="24"/>
          <w:szCs w:val="24"/>
        </w:rPr>
        <w:t>FDCi Executive Board Member</w:t>
      </w:r>
    </w:p>
    <w:p w14:paraId="55F16F21" w14:textId="77777777" w:rsidR="00F56D11" w:rsidRPr="00ED5986" w:rsidRDefault="00F56D11" w:rsidP="004C7939">
      <w:pPr>
        <w:pStyle w:val="ListBullet"/>
        <w:numPr>
          <w:ilvl w:val="0"/>
          <w:numId w:val="0"/>
        </w:numPr>
        <w:tabs>
          <w:tab w:val="left" w:pos="720"/>
        </w:tabs>
        <w:spacing w:after="0" w:line="240" w:lineRule="auto"/>
        <w:ind w:left="432"/>
        <w:rPr>
          <w:color w:val="0D0D0D"/>
          <w:sz w:val="24"/>
          <w:szCs w:val="24"/>
        </w:rPr>
      </w:pPr>
    </w:p>
    <w:p w14:paraId="2A411CCE" w14:textId="7103CC7C" w:rsidR="00F56D11" w:rsidRPr="00ED5986" w:rsidRDefault="00F56D11" w:rsidP="004C7939">
      <w:pPr>
        <w:pStyle w:val="ListBullet"/>
        <w:numPr>
          <w:ilvl w:val="0"/>
          <w:numId w:val="0"/>
        </w:numPr>
        <w:tabs>
          <w:tab w:val="left" w:pos="720"/>
        </w:tabs>
        <w:spacing w:after="0" w:line="240" w:lineRule="auto"/>
        <w:ind w:left="432"/>
        <w:rPr>
          <w:color w:val="0D0D0D"/>
          <w:sz w:val="20"/>
          <w:szCs w:val="20"/>
        </w:rPr>
      </w:pPr>
      <w:r w:rsidRPr="00ED5986">
        <w:rPr>
          <w:color w:val="0D0D0D"/>
          <w:sz w:val="20"/>
          <w:szCs w:val="20"/>
        </w:rPr>
        <w:t>Signature __________</w:t>
      </w:r>
      <w:r w:rsidRPr="00F56D11">
        <w:rPr>
          <w:color w:val="0D0D0D"/>
          <w:sz w:val="20"/>
          <w:szCs w:val="20"/>
          <w:u w:val="single"/>
        </w:rPr>
        <w:t xml:space="preserve">_____ DJL_________________________________ </w:t>
      </w:r>
      <w:r w:rsidRPr="00ED5986">
        <w:rPr>
          <w:color w:val="0D0D0D"/>
          <w:sz w:val="20"/>
          <w:szCs w:val="20"/>
        </w:rPr>
        <w:t>Date __</w:t>
      </w:r>
      <w:r>
        <w:rPr>
          <w:color w:val="0D0D0D"/>
          <w:sz w:val="20"/>
          <w:szCs w:val="20"/>
          <w:u w:val="single"/>
        </w:rPr>
        <w:t>2/2021</w:t>
      </w:r>
      <w:r w:rsidRPr="00ED5986">
        <w:rPr>
          <w:color w:val="0D0D0D"/>
          <w:sz w:val="20"/>
          <w:szCs w:val="20"/>
        </w:rPr>
        <w:t>__________</w:t>
      </w:r>
    </w:p>
    <w:p w14:paraId="1EFAE02E" w14:textId="77777777" w:rsidR="00F56D11" w:rsidRDefault="00F56D11" w:rsidP="004C7939">
      <w:pPr>
        <w:spacing w:after="0" w:line="240" w:lineRule="auto"/>
        <w:rPr>
          <w:rFonts w:eastAsia="Times New Roman" w:cs="Times New Roman"/>
          <w:sz w:val="24"/>
          <w:szCs w:val="24"/>
        </w:rPr>
      </w:pPr>
    </w:p>
    <w:tbl>
      <w:tblPr>
        <w:tblStyle w:val="TableGrid"/>
        <w:tblW w:w="5985" w:type="dxa"/>
        <w:tblLook w:val="04A0" w:firstRow="1" w:lastRow="0" w:firstColumn="1" w:lastColumn="0" w:noHBand="0" w:noVBand="1"/>
      </w:tblPr>
      <w:tblGrid>
        <w:gridCol w:w="5985"/>
      </w:tblGrid>
      <w:tr w:rsidR="00F56D11" w:rsidRPr="005D376B" w14:paraId="09380045" w14:textId="77777777" w:rsidTr="009B4213">
        <w:trPr>
          <w:trHeight w:val="250"/>
        </w:trPr>
        <w:tc>
          <w:tcPr>
            <w:tcW w:w="5985" w:type="dxa"/>
            <w:shd w:val="clear" w:color="auto" w:fill="FFFFFF" w:themeFill="background1"/>
          </w:tcPr>
          <w:p w14:paraId="19771A48" w14:textId="7AEE36A4" w:rsidR="00F56D11" w:rsidRPr="00ED5986" w:rsidRDefault="00F56D11" w:rsidP="004C7939">
            <w:pPr>
              <w:rPr>
                <w:rFonts w:ascii="Calibri" w:hAnsi="Calibri"/>
                <w:b/>
                <w:color w:val="0D0D0D" w:themeColor="text1" w:themeTint="F2"/>
                <w:sz w:val="20"/>
              </w:rPr>
            </w:pPr>
            <w:r>
              <w:rPr>
                <w:rFonts w:ascii="Calibri" w:hAnsi="Calibri"/>
                <w:b/>
                <w:color w:val="0D0D0D" w:themeColor="text1" w:themeTint="F2"/>
                <w:sz w:val="20"/>
              </w:rPr>
              <w:t>P&amp;P Name</w:t>
            </w:r>
            <w:r w:rsidRPr="002D1306">
              <w:rPr>
                <w:rFonts w:ascii="Calibri" w:hAnsi="Calibri"/>
                <w:bCs/>
                <w:color w:val="0D0D0D" w:themeColor="text1" w:themeTint="F2"/>
                <w:sz w:val="20"/>
              </w:rPr>
              <w:t xml:space="preserve">: </w:t>
            </w:r>
            <w:r>
              <w:rPr>
                <w:rFonts w:ascii="Calibri" w:hAnsi="Calibri"/>
                <w:bCs/>
                <w:color w:val="0D0D0D" w:themeColor="text1" w:themeTint="F2"/>
                <w:sz w:val="20"/>
              </w:rPr>
              <w:t>Transition of Care Policy and Procedures</w:t>
            </w:r>
          </w:p>
        </w:tc>
      </w:tr>
      <w:tr w:rsidR="00F56D11" w:rsidRPr="005D376B" w14:paraId="739820CB" w14:textId="77777777" w:rsidTr="009B4213">
        <w:trPr>
          <w:trHeight w:val="250"/>
        </w:trPr>
        <w:tc>
          <w:tcPr>
            <w:tcW w:w="5985" w:type="dxa"/>
            <w:shd w:val="clear" w:color="auto" w:fill="FFFFFF" w:themeFill="background1"/>
          </w:tcPr>
          <w:p w14:paraId="446F0ED0" w14:textId="0709580A" w:rsidR="00F56D11" w:rsidRDefault="00F56D11" w:rsidP="004C7939">
            <w:pPr>
              <w:rPr>
                <w:rFonts w:ascii="Calibri" w:hAnsi="Calibri"/>
                <w:b/>
                <w:color w:val="0D0D0D" w:themeColor="text1" w:themeTint="F2"/>
                <w:sz w:val="20"/>
              </w:rPr>
            </w:pPr>
            <w:r w:rsidRPr="00ED5986">
              <w:rPr>
                <w:rFonts w:ascii="Calibri" w:hAnsi="Calibri"/>
                <w:b/>
                <w:color w:val="0D0D0D" w:themeColor="text1" w:themeTint="F2"/>
                <w:sz w:val="20"/>
              </w:rPr>
              <w:t>Department:</w:t>
            </w:r>
            <w:r w:rsidRPr="00ED5986">
              <w:rPr>
                <w:rFonts w:ascii="Calibri" w:hAnsi="Calibri"/>
                <w:color w:val="0D0D0D" w:themeColor="text1" w:themeTint="F2"/>
                <w:sz w:val="20"/>
              </w:rPr>
              <w:t xml:space="preserve">  FDCi </w:t>
            </w:r>
            <w:r w:rsidR="000809FB">
              <w:rPr>
                <w:rFonts w:ascii="Calibri" w:hAnsi="Calibri"/>
                <w:color w:val="0D0D0D" w:themeColor="text1" w:themeTint="F2"/>
                <w:sz w:val="20"/>
              </w:rPr>
              <w:t>Member Rights</w:t>
            </w:r>
          </w:p>
        </w:tc>
      </w:tr>
      <w:tr w:rsidR="00F56D11" w:rsidRPr="005D376B" w14:paraId="5D23E405" w14:textId="77777777" w:rsidTr="009B4213">
        <w:trPr>
          <w:trHeight w:val="250"/>
        </w:trPr>
        <w:tc>
          <w:tcPr>
            <w:tcW w:w="5985" w:type="dxa"/>
            <w:shd w:val="clear" w:color="auto" w:fill="FFFFFF" w:themeFill="background1"/>
          </w:tcPr>
          <w:p w14:paraId="2E2F06C8" w14:textId="5778A80E" w:rsidR="00F56D11" w:rsidRPr="00ED5986" w:rsidRDefault="00F56D11" w:rsidP="004C7939">
            <w:pPr>
              <w:rPr>
                <w:rFonts w:ascii="Calibri" w:hAnsi="Calibri"/>
                <w:b/>
                <w:color w:val="0D0D0D" w:themeColor="text1" w:themeTint="F2"/>
                <w:sz w:val="20"/>
              </w:rPr>
            </w:pPr>
            <w:r w:rsidRPr="00ED5986">
              <w:rPr>
                <w:rFonts w:ascii="Calibri" w:hAnsi="Calibri"/>
                <w:b/>
                <w:color w:val="0D0D0D" w:themeColor="text1" w:themeTint="F2"/>
                <w:sz w:val="20"/>
              </w:rPr>
              <w:t xml:space="preserve">Author: </w:t>
            </w:r>
            <w:r w:rsidR="000809FB" w:rsidRPr="00C507CA">
              <w:rPr>
                <w:rFonts w:ascii="Calibri" w:hAnsi="Calibri"/>
                <w:color w:val="0D0D0D" w:themeColor="text1" w:themeTint="F2"/>
                <w:sz w:val="20"/>
              </w:rPr>
              <w:t>Deborah Loy – FDCi Executive Director</w:t>
            </w:r>
          </w:p>
        </w:tc>
      </w:tr>
      <w:tr w:rsidR="00F56D11" w:rsidRPr="005D376B" w14:paraId="34B28523" w14:textId="77777777" w:rsidTr="009B4213">
        <w:trPr>
          <w:trHeight w:val="250"/>
        </w:trPr>
        <w:tc>
          <w:tcPr>
            <w:tcW w:w="5985" w:type="dxa"/>
            <w:shd w:val="clear" w:color="auto" w:fill="FFFFFF" w:themeFill="background1"/>
          </w:tcPr>
          <w:p w14:paraId="44EF8AF4" w14:textId="2B553FA3" w:rsidR="00F56D11" w:rsidRPr="00ED5986" w:rsidRDefault="00F56D11" w:rsidP="004C7939">
            <w:pPr>
              <w:rPr>
                <w:rFonts w:ascii="Calibri" w:hAnsi="Calibri"/>
                <w:b/>
                <w:color w:val="0D0D0D" w:themeColor="text1" w:themeTint="F2"/>
                <w:sz w:val="20"/>
              </w:rPr>
            </w:pPr>
            <w:r w:rsidRPr="00ED5986">
              <w:rPr>
                <w:rFonts w:ascii="Calibri" w:hAnsi="Calibri"/>
                <w:b/>
                <w:color w:val="0D0D0D" w:themeColor="text1" w:themeTint="F2"/>
                <w:sz w:val="20"/>
              </w:rPr>
              <w:lastRenderedPageBreak/>
              <w:t xml:space="preserve">Date Written: </w:t>
            </w:r>
            <w:r w:rsidRPr="00F56D11">
              <w:rPr>
                <w:rFonts w:ascii="Calibri" w:hAnsi="Calibri"/>
                <w:bCs/>
                <w:color w:val="0D0D0D" w:themeColor="text1" w:themeTint="F2"/>
                <w:sz w:val="20"/>
              </w:rPr>
              <w:t>February 2021</w:t>
            </w:r>
          </w:p>
        </w:tc>
      </w:tr>
      <w:tr w:rsidR="00F56D11" w:rsidRPr="005D376B" w14:paraId="078C1F2B" w14:textId="77777777" w:rsidTr="009B4213">
        <w:trPr>
          <w:trHeight w:val="263"/>
        </w:trPr>
        <w:tc>
          <w:tcPr>
            <w:tcW w:w="5985" w:type="dxa"/>
            <w:shd w:val="clear" w:color="auto" w:fill="FFFFFF" w:themeFill="background1"/>
          </w:tcPr>
          <w:p w14:paraId="3FAA6908" w14:textId="5C3353F5" w:rsidR="00F56D11" w:rsidRPr="00ED5986" w:rsidRDefault="00F56D11" w:rsidP="004C7939">
            <w:pPr>
              <w:rPr>
                <w:rFonts w:ascii="Calibri" w:hAnsi="Calibri"/>
                <w:b/>
                <w:color w:val="0D0D0D" w:themeColor="text1" w:themeTint="F2"/>
                <w:sz w:val="20"/>
              </w:rPr>
            </w:pPr>
            <w:r w:rsidRPr="00ED5986">
              <w:rPr>
                <w:rFonts w:ascii="Calibri" w:hAnsi="Calibri"/>
                <w:b/>
                <w:color w:val="0D0D0D" w:themeColor="text1" w:themeTint="F2"/>
                <w:sz w:val="20"/>
              </w:rPr>
              <w:t>Original Effective Date:</w:t>
            </w:r>
            <w:r w:rsidRPr="00ED5986">
              <w:rPr>
                <w:rFonts w:ascii="Calibri" w:hAnsi="Calibri"/>
                <w:color w:val="0D0D0D" w:themeColor="text1" w:themeTint="F2"/>
                <w:sz w:val="20"/>
              </w:rPr>
              <w:t xml:space="preserve"> </w:t>
            </w:r>
            <w:r w:rsidRPr="00F56D11">
              <w:rPr>
                <w:rFonts w:ascii="Calibri" w:hAnsi="Calibri"/>
                <w:bCs/>
                <w:color w:val="0D0D0D" w:themeColor="text1" w:themeTint="F2"/>
                <w:sz w:val="20"/>
              </w:rPr>
              <w:t>February 2021</w:t>
            </w:r>
          </w:p>
        </w:tc>
      </w:tr>
      <w:tr w:rsidR="00F56D11" w:rsidRPr="005D376B" w14:paraId="47EC09F4" w14:textId="77777777" w:rsidTr="009B4213">
        <w:trPr>
          <w:trHeight w:val="250"/>
        </w:trPr>
        <w:tc>
          <w:tcPr>
            <w:tcW w:w="5985" w:type="dxa"/>
            <w:shd w:val="clear" w:color="auto" w:fill="FFFFFF" w:themeFill="background1"/>
          </w:tcPr>
          <w:p w14:paraId="25945E22" w14:textId="41259A99" w:rsidR="00F56D11" w:rsidRPr="00FE4BF4" w:rsidRDefault="00F56D11" w:rsidP="004C7939">
            <w:pPr>
              <w:rPr>
                <w:rFonts w:ascii="Calibri" w:hAnsi="Calibri"/>
                <w:color w:val="0D0D0D" w:themeColor="text1" w:themeTint="F2"/>
                <w:sz w:val="20"/>
              </w:rPr>
            </w:pPr>
            <w:r w:rsidRPr="00ED5986">
              <w:rPr>
                <w:rFonts w:ascii="Calibri" w:hAnsi="Calibri"/>
                <w:b/>
                <w:color w:val="0D0D0D" w:themeColor="text1" w:themeTint="F2"/>
                <w:sz w:val="20"/>
              </w:rPr>
              <w:t>Date Revi</w:t>
            </w:r>
            <w:r>
              <w:rPr>
                <w:rFonts w:ascii="Calibri" w:hAnsi="Calibri"/>
                <w:b/>
                <w:color w:val="0D0D0D" w:themeColor="text1" w:themeTint="F2"/>
                <w:sz w:val="20"/>
              </w:rPr>
              <w:t>ewed:</w:t>
            </w:r>
          </w:p>
        </w:tc>
      </w:tr>
      <w:tr w:rsidR="00F56D11" w:rsidRPr="005D376B" w14:paraId="455C211F" w14:textId="77777777" w:rsidTr="009B4213">
        <w:trPr>
          <w:trHeight w:val="250"/>
        </w:trPr>
        <w:tc>
          <w:tcPr>
            <w:tcW w:w="5985" w:type="dxa"/>
            <w:shd w:val="clear" w:color="auto" w:fill="FFFFFF" w:themeFill="background1"/>
          </w:tcPr>
          <w:p w14:paraId="4546BA0B" w14:textId="4AD40112" w:rsidR="00F56D11" w:rsidRPr="00ED5986" w:rsidRDefault="00F56D11" w:rsidP="004C7939">
            <w:pPr>
              <w:rPr>
                <w:rFonts w:ascii="Calibri" w:hAnsi="Calibri"/>
                <w:b/>
                <w:color w:val="0D0D0D" w:themeColor="text1" w:themeTint="F2"/>
                <w:sz w:val="20"/>
              </w:rPr>
            </w:pPr>
            <w:r w:rsidRPr="00C507CA">
              <w:rPr>
                <w:rFonts w:ascii="Calibri" w:hAnsi="Calibri"/>
                <w:b/>
                <w:color w:val="0D0D0D" w:themeColor="text1" w:themeTint="F2"/>
                <w:sz w:val="20"/>
              </w:rPr>
              <w:t xml:space="preserve">Revised By: </w:t>
            </w:r>
          </w:p>
        </w:tc>
      </w:tr>
      <w:tr w:rsidR="00F56D11" w:rsidRPr="005D376B" w14:paraId="210FED98" w14:textId="77777777" w:rsidTr="009B4213">
        <w:trPr>
          <w:trHeight w:val="250"/>
        </w:trPr>
        <w:tc>
          <w:tcPr>
            <w:tcW w:w="5985" w:type="dxa"/>
            <w:shd w:val="clear" w:color="auto" w:fill="FFFFFF" w:themeFill="background1"/>
          </w:tcPr>
          <w:p w14:paraId="7A6F7607" w14:textId="77777777" w:rsidR="00F56D11" w:rsidRPr="00F81A0A" w:rsidRDefault="00F56D11" w:rsidP="004C7939">
            <w:pPr>
              <w:rPr>
                <w:rFonts w:ascii="Calibri" w:hAnsi="Calibri"/>
                <w:bCs/>
                <w:color w:val="0D0D0D" w:themeColor="text1" w:themeTint="F2"/>
                <w:sz w:val="20"/>
              </w:rPr>
            </w:pPr>
            <w:r>
              <w:rPr>
                <w:rFonts w:ascii="Calibri" w:hAnsi="Calibri"/>
                <w:b/>
                <w:color w:val="0D0D0D" w:themeColor="text1" w:themeTint="F2"/>
                <w:sz w:val="20"/>
              </w:rPr>
              <w:t>Approved By:</w:t>
            </w:r>
            <w:r>
              <w:rPr>
                <w:rFonts w:ascii="Calibri" w:hAnsi="Calibri"/>
                <w:bCs/>
                <w:color w:val="0D0D0D" w:themeColor="text1" w:themeTint="F2"/>
                <w:sz w:val="20"/>
              </w:rPr>
              <w:t xml:space="preserve"> FDCi Compliance Committee</w:t>
            </w:r>
          </w:p>
        </w:tc>
      </w:tr>
      <w:tr w:rsidR="00F56D11" w:rsidRPr="005D376B" w14:paraId="499A778E" w14:textId="77777777" w:rsidTr="009B4213">
        <w:trPr>
          <w:trHeight w:val="198"/>
        </w:trPr>
        <w:tc>
          <w:tcPr>
            <w:tcW w:w="5985" w:type="dxa"/>
            <w:shd w:val="clear" w:color="auto" w:fill="FFFFFF" w:themeFill="background1"/>
          </w:tcPr>
          <w:p w14:paraId="7B1AAE37" w14:textId="77777777" w:rsidR="00F56D11" w:rsidRPr="00ED5986" w:rsidRDefault="00F56D11" w:rsidP="004C7939">
            <w:pPr>
              <w:rPr>
                <w:rFonts w:ascii="Calibri" w:hAnsi="Calibri"/>
                <w:color w:val="0D0D0D" w:themeColor="text1" w:themeTint="F2"/>
                <w:sz w:val="20"/>
              </w:rPr>
            </w:pPr>
            <w:r w:rsidRPr="00ED5986">
              <w:rPr>
                <w:rFonts w:ascii="Calibri" w:hAnsi="Calibri"/>
                <w:b/>
                <w:color w:val="0D0D0D" w:themeColor="text1" w:themeTint="F2"/>
                <w:sz w:val="20"/>
              </w:rPr>
              <w:t>Review Frequency:</w:t>
            </w:r>
            <w:r w:rsidRPr="00ED5986">
              <w:rPr>
                <w:rFonts w:ascii="Calibri" w:hAnsi="Calibri"/>
                <w:color w:val="0D0D0D" w:themeColor="text1" w:themeTint="F2"/>
                <w:sz w:val="20"/>
              </w:rPr>
              <w:t xml:space="preserve"> </w:t>
            </w:r>
            <w:r>
              <w:rPr>
                <w:rFonts w:ascii="Calibri" w:hAnsi="Calibri"/>
                <w:color w:val="0D0D0D" w:themeColor="text1" w:themeTint="F2"/>
                <w:sz w:val="20"/>
              </w:rPr>
              <w:t>Bi-a</w:t>
            </w:r>
            <w:r w:rsidRPr="00ED5986">
              <w:rPr>
                <w:rFonts w:ascii="Calibri" w:hAnsi="Calibri"/>
                <w:color w:val="0D0D0D" w:themeColor="text1" w:themeTint="F2"/>
                <w:sz w:val="20"/>
              </w:rPr>
              <w:t>nnually or on an as needed basis</w:t>
            </w:r>
          </w:p>
        </w:tc>
      </w:tr>
      <w:tr w:rsidR="00F56D11" w:rsidRPr="005D376B" w14:paraId="245215DC" w14:textId="77777777" w:rsidTr="009B4213">
        <w:trPr>
          <w:trHeight w:val="92"/>
        </w:trPr>
        <w:tc>
          <w:tcPr>
            <w:tcW w:w="5985" w:type="dxa"/>
            <w:shd w:val="clear" w:color="auto" w:fill="FFFFFF" w:themeFill="background1"/>
          </w:tcPr>
          <w:p w14:paraId="45E95AED" w14:textId="4B738F1A" w:rsidR="00F56D11" w:rsidRPr="00ED5986" w:rsidRDefault="00F56D11" w:rsidP="004C7939">
            <w:pPr>
              <w:rPr>
                <w:rFonts w:ascii="Calibri" w:hAnsi="Calibri"/>
                <w:color w:val="0D0D0D" w:themeColor="text1" w:themeTint="F2"/>
                <w:sz w:val="20"/>
              </w:rPr>
            </w:pPr>
            <w:r w:rsidRPr="00ED5986">
              <w:rPr>
                <w:rFonts w:ascii="Calibri" w:hAnsi="Calibri"/>
                <w:b/>
                <w:color w:val="0D0D0D" w:themeColor="text1" w:themeTint="F2"/>
                <w:sz w:val="20"/>
              </w:rPr>
              <w:t xml:space="preserve">Next Review Date: </w:t>
            </w:r>
            <w:r w:rsidRPr="00F56D11">
              <w:rPr>
                <w:rFonts w:ascii="Calibri" w:hAnsi="Calibri"/>
                <w:bCs/>
                <w:color w:val="0D0D0D" w:themeColor="text1" w:themeTint="F2"/>
                <w:sz w:val="20"/>
              </w:rPr>
              <w:t>February 202</w:t>
            </w:r>
            <w:r>
              <w:rPr>
                <w:rFonts w:ascii="Calibri" w:hAnsi="Calibri"/>
                <w:bCs/>
                <w:color w:val="0D0D0D" w:themeColor="text1" w:themeTint="F2"/>
                <w:sz w:val="20"/>
              </w:rPr>
              <w:t>3</w:t>
            </w:r>
          </w:p>
        </w:tc>
      </w:tr>
    </w:tbl>
    <w:p w14:paraId="7C1D51A4" w14:textId="77777777" w:rsidR="00F56D11" w:rsidRDefault="00F56D11" w:rsidP="004C7939">
      <w:pPr>
        <w:pStyle w:val="Heading1"/>
        <w:spacing w:before="0" w:after="0"/>
        <w:rPr>
          <w:rFonts w:ascii="Calibri" w:hAnsi="Calibri" w:cs="Calibri"/>
          <w:sz w:val="36"/>
          <w:szCs w:val="24"/>
        </w:rPr>
      </w:pPr>
    </w:p>
    <w:p w14:paraId="0BD1EDAD" w14:textId="77777777" w:rsidR="00F56D11" w:rsidRDefault="00F56D11" w:rsidP="004C7939">
      <w:pPr>
        <w:rPr>
          <w:rFonts w:ascii="Calibri" w:hAnsi="Calibri" w:cs="Calibri"/>
          <w:b/>
          <w:bCs/>
          <w:caps/>
          <w:color w:val="002060"/>
          <w:sz w:val="36"/>
          <w:szCs w:val="24"/>
          <w:lang w:eastAsia="ja-JP"/>
        </w:rPr>
      </w:pPr>
    </w:p>
    <w:p w14:paraId="3492DA7F" w14:textId="77777777" w:rsidR="006A07F2" w:rsidRDefault="006A07F2" w:rsidP="004C7939"/>
    <w:sectPr w:rsidR="006A07F2" w:rsidSect="006F30F1">
      <w:headerReference w:type="even" r:id="rId8"/>
      <w:headerReference w:type="default" r:id="rId9"/>
      <w:footerReference w:type="default" r:id="rId10"/>
      <w:headerReference w:type="first" r:id="rId11"/>
      <w:pgSz w:w="12240" w:h="15840"/>
      <w:pgMar w:top="720" w:right="720" w:bottom="720" w:left="720" w:header="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E1CE" w14:textId="77777777" w:rsidR="00000000" w:rsidRDefault="000809FB">
      <w:pPr>
        <w:spacing w:after="0" w:line="240" w:lineRule="auto"/>
      </w:pPr>
      <w:r>
        <w:separator/>
      </w:r>
    </w:p>
  </w:endnote>
  <w:endnote w:type="continuationSeparator" w:id="0">
    <w:p w14:paraId="7E174C4F" w14:textId="77777777" w:rsidR="00000000" w:rsidRDefault="000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2060"/>
        <w:sz w:val="24"/>
        <w:szCs w:val="24"/>
      </w:rPr>
      <w:id w:val="534319456"/>
      <w:docPartObj>
        <w:docPartGallery w:val="Page Numbers (Bottom of Page)"/>
        <w:docPartUnique/>
      </w:docPartObj>
    </w:sdtPr>
    <w:sdtEndPr/>
    <w:sdtContent>
      <w:sdt>
        <w:sdtPr>
          <w:rPr>
            <w:color w:val="002060"/>
            <w:sz w:val="24"/>
            <w:szCs w:val="24"/>
          </w:rPr>
          <w:id w:val="1728636285"/>
          <w:docPartObj>
            <w:docPartGallery w:val="Page Numbers (Top of Page)"/>
            <w:docPartUnique/>
          </w:docPartObj>
        </w:sdtPr>
        <w:sdtEndPr/>
        <w:sdtContent>
          <w:p w14:paraId="12C6C91B" w14:textId="77777777" w:rsidR="00021C6A" w:rsidRPr="00460567" w:rsidRDefault="00160DE2" w:rsidP="018EAABA">
            <w:pPr>
              <w:pStyle w:val="Footer"/>
              <w:jc w:val="center"/>
              <w:rPr>
                <w:color w:val="002060"/>
                <w:sz w:val="24"/>
                <w:szCs w:val="24"/>
              </w:rPr>
            </w:pPr>
            <w:r w:rsidRPr="018EAABA">
              <w:rPr>
                <w:color w:val="002060"/>
                <w:sz w:val="24"/>
                <w:szCs w:val="24"/>
              </w:rPr>
              <w:t xml:space="preserve">Page </w:t>
            </w:r>
            <w:r w:rsidRPr="018EAABA">
              <w:rPr>
                <w:b/>
                <w:bCs/>
                <w:noProof/>
                <w:color w:val="002060"/>
                <w:sz w:val="24"/>
                <w:szCs w:val="24"/>
              </w:rPr>
              <w:fldChar w:fldCharType="begin"/>
            </w:r>
            <w:r w:rsidRPr="018EAABA">
              <w:rPr>
                <w:b/>
                <w:bCs/>
                <w:noProof/>
                <w:color w:val="002060"/>
                <w:sz w:val="24"/>
                <w:szCs w:val="24"/>
              </w:rPr>
              <w:instrText xml:space="preserve"> PAGE </w:instrText>
            </w:r>
            <w:r w:rsidRPr="018EAABA">
              <w:rPr>
                <w:b/>
                <w:bCs/>
                <w:noProof/>
                <w:color w:val="002060"/>
                <w:sz w:val="24"/>
                <w:szCs w:val="24"/>
              </w:rPr>
              <w:fldChar w:fldCharType="separate"/>
            </w:r>
            <w:r>
              <w:rPr>
                <w:b/>
                <w:bCs/>
                <w:noProof/>
                <w:color w:val="002060"/>
                <w:sz w:val="24"/>
                <w:szCs w:val="24"/>
              </w:rPr>
              <w:t>12</w:t>
            </w:r>
            <w:r w:rsidRPr="018EAABA">
              <w:rPr>
                <w:b/>
                <w:bCs/>
                <w:noProof/>
                <w:color w:val="002060"/>
                <w:sz w:val="24"/>
                <w:szCs w:val="24"/>
              </w:rPr>
              <w:fldChar w:fldCharType="end"/>
            </w:r>
            <w:r w:rsidRPr="018EAABA">
              <w:rPr>
                <w:color w:val="002060"/>
                <w:sz w:val="24"/>
                <w:szCs w:val="24"/>
              </w:rPr>
              <w:t xml:space="preserve"> of </w:t>
            </w:r>
            <w:r w:rsidRPr="018EAABA">
              <w:rPr>
                <w:b/>
                <w:bCs/>
                <w:noProof/>
                <w:color w:val="002060"/>
                <w:sz w:val="24"/>
                <w:szCs w:val="24"/>
              </w:rPr>
              <w:fldChar w:fldCharType="begin"/>
            </w:r>
            <w:r w:rsidRPr="018EAABA">
              <w:rPr>
                <w:b/>
                <w:bCs/>
                <w:noProof/>
                <w:color w:val="002060"/>
                <w:sz w:val="24"/>
                <w:szCs w:val="24"/>
              </w:rPr>
              <w:instrText xml:space="preserve"> NUMPAGES  </w:instrText>
            </w:r>
            <w:r w:rsidRPr="018EAABA">
              <w:rPr>
                <w:b/>
                <w:bCs/>
                <w:noProof/>
                <w:color w:val="002060"/>
                <w:sz w:val="24"/>
                <w:szCs w:val="24"/>
              </w:rPr>
              <w:fldChar w:fldCharType="separate"/>
            </w:r>
            <w:r>
              <w:rPr>
                <w:b/>
                <w:bCs/>
                <w:noProof/>
                <w:color w:val="002060"/>
                <w:sz w:val="24"/>
                <w:szCs w:val="24"/>
              </w:rPr>
              <w:t>244</w:t>
            </w:r>
            <w:r w:rsidRPr="018EAABA">
              <w:rPr>
                <w:b/>
                <w:bCs/>
                <w:noProof/>
                <w:color w:val="002060"/>
                <w:sz w:val="24"/>
                <w:szCs w:val="24"/>
              </w:rPr>
              <w:fldChar w:fldCharType="end"/>
            </w:r>
          </w:p>
        </w:sdtContent>
      </w:sdt>
    </w:sdtContent>
  </w:sdt>
  <w:p w14:paraId="6F1DCC4D" w14:textId="77777777" w:rsidR="003C4FC9" w:rsidRDefault="00080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21A0" w14:textId="77777777" w:rsidR="00000000" w:rsidRDefault="000809FB">
      <w:pPr>
        <w:spacing w:after="0" w:line="240" w:lineRule="auto"/>
      </w:pPr>
      <w:r>
        <w:separator/>
      </w:r>
    </w:p>
  </w:footnote>
  <w:footnote w:type="continuationSeparator" w:id="0">
    <w:p w14:paraId="26CE4520" w14:textId="77777777" w:rsidR="00000000" w:rsidRDefault="0008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9BCD" w14:textId="77777777" w:rsidR="00021C6A" w:rsidRDefault="000809FB">
    <w:pPr>
      <w:pStyle w:val="Header"/>
    </w:pPr>
  </w:p>
  <w:p w14:paraId="67E0E2E2" w14:textId="77777777" w:rsidR="003C4FC9" w:rsidRDefault="000809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3464" w14:textId="77777777" w:rsidR="00021C6A" w:rsidRDefault="000809FB">
    <w:pPr>
      <w:pStyle w:val="Header"/>
    </w:pPr>
  </w:p>
  <w:p w14:paraId="47CAB66C" w14:textId="77777777" w:rsidR="003C4FC9" w:rsidRDefault="000809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D192" w14:textId="77777777" w:rsidR="00021C6A" w:rsidRDefault="00080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F29"/>
    <w:multiLevelType w:val="hybridMultilevel"/>
    <w:tmpl w:val="7D1C3EC8"/>
    <w:lvl w:ilvl="0" w:tplc="FA0C6B36">
      <w:start w:val="1"/>
      <w:numFmt w:val="bullet"/>
      <w:pStyle w:val="Bulleteditems"/>
      <w:lvlText w:val=""/>
      <w:lvlJc w:val="left"/>
      <w:pPr>
        <w:ind w:left="360" w:hanging="360"/>
      </w:pPr>
      <w:rPr>
        <w:rFonts w:ascii="Symbol" w:hAnsi="Symbol" w:hint="default"/>
        <w:b/>
        <w:color w:val="002060"/>
        <w:sz w:val="24"/>
        <w:szCs w:val="24"/>
      </w:rPr>
    </w:lvl>
    <w:lvl w:ilvl="1" w:tplc="4798E800">
      <w:start w:val="1"/>
      <w:numFmt w:val="upperLetter"/>
      <w:lvlText w:val="%2."/>
      <w:lvlJc w:val="left"/>
      <w:pPr>
        <w:ind w:left="1440" w:hanging="360"/>
      </w:pPr>
      <w:rPr>
        <w:rFonts w:hint="default"/>
        <w:b/>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C1840"/>
    <w:multiLevelType w:val="hybridMultilevel"/>
    <w:tmpl w:val="C5CE22CA"/>
    <w:lvl w:ilvl="0" w:tplc="02E69E20">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7E5D71"/>
    <w:multiLevelType w:val="hybridMultilevel"/>
    <w:tmpl w:val="9296E7A2"/>
    <w:lvl w:ilvl="0" w:tplc="B6567970">
      <w:start w:val="1"/>
      <w:numFmt w:val="bullet"/>
      <w:pStyle w:val="ListBullet"/>
      <w:lvlText w:val=""/>
      <w:lvlJc w:val="left"/>
      <w:pPr>
        <w:tabs>
          <w:tab w:val="num" w:pos="216"/>
        </w:tabs>
        <w:ind w:left="288" w:hanging="288"/>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959A9"/>
    <w:multiLevelType w:val="hybridMultilevel"/>
    <w:tmpl w:val="EBB8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11"/>
    <w:rsid w:val="000809FB"/>
    <w:rsid w:val="00142B6C"/>
    <w:rsid w:val="00160DE2"/>
    <w:rsid w:val="004C7939"/>
    <w:rsid w:val="00542461"/>
    <w:rsid w:val="006A07F2"/>
    <w:rsid w:val="008529CA"/>
    <w:rsid w:val="00F56D11"/>
    <w:rsid w:val="00F7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CD0A"/>
  <w15:chartTrackingRefBased/>
  <w15:docId w15:val="{9CA38937-86A7-45CC-A71E-23960048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11"/>
  </w:style>
  <w:style w:type="paragraph" w:styleId="Heading1">
    <w:name w:val="heading 1"/>
    <w:basedOn w:val="Normal"/>
    <w:next w:val="Normal"/>
    <w:link w:val="Heading1Char"/>
    <w:qFormat/>
    <w:rsid w:val="00F56D11"/>
    <w:pPr>
      <w:keepNext/>
      <w:keepLines/>
      <w:spacing w:before="600" w:after="240" w:line="240" w:lineRule="auto"/>
      <w:outlineLvl w:val="0"/>
    </w:pPr>
    <w:rPr>
      <w:b/>
      <w:bCs/>
      <w:caps/>
      <w:color w:val="002060"/>
      <w:sz w:val="28"/>
      <w:szCs w:val="28"/>
      <w:lang w:eastAsia="ja-JP"/>
    </w:rPr>
  </w:style>
  <w:style w:type="paragraph" w:styleId="Heading2">
    <w:name w:val="heading 2"/>
    <w:basedOn w:val="Normal"/>
    <w:next w:val="Normal"/>
    <w:link w:val="Heading2Char"/>
    <w:uiPriority w:val="9"/>
    <w:unhideWhenUsed/>
    <w:qFormat/>
    <w:rsid w:val="00F56D11"/>
    <w:pPr>
      <w:keepNext/>
      <w:keepLines/>
      <w:spacing w:before="360" w:after="120" w:line="240" w:lineRule="auto"/>
      <w:outlineLvl w:val="1"/>
    </w:pPr>
    <w:rPr>
      <w:b/>
      <w:bCs/>
      <w:color w:val="002060"/>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D11"/>
    <w:rPr>
      <w:b/>
      <w:bCs/>
      <w:caps/>
      <w:color w:val="002060"/>
      <w:sz w:val="28"/>
      <w:szCs w:val="28"/>
      <w:lang w:eastAsia="ja-JP"/>
    </w:rPr>
  </w:style>
  <w:style w:type="character" w:customStyle="1" w:styleId="Heading2Char">
    <w:name w:val="Heading 2 Char"/>
    <w:basedOn w:val="DefaultParagraphFont"/>
    <w:link w:val="Heading2"/>
    <w:uiPriority w:val="9"/>
    <w:rsid w:val="00F56D11"/>
    <w:rPr>
      <w:b/>
      <w:bCs/>
      <w:color w:val="002060"/>
      <w:sz w:val="24"/>
      <w:szCs w:val="24"/>
      <w:lang w:eastAsia="ja-JP"/>
    </w:rPr>
  </w:style>
  <w:style w:type="table" w:styleId="TableGrid">
    <w:name w:val="Table Grid"/>
    <w:basedOn w:val="TableNormal"/>
    <w:uiPriority w:val="59"/>
    <w:rsid w:val="00F5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11"/>
  </w:style>
  <w:style w:type="paragraph" w:styleId="Footer">
    <w:name w:val="footer"/>
    <w:basedOn w:val="Normal"/>
    <w:link w:val="FooterChar"/>
    <w:uiPriority w:val="99"/>
    <w:unhideWhenUsed/>
    <w:rsid w:val="00F5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11"/>
  </w:style>
  <w:style w:type="paragraph" w:styleId="ListBullet">
    <w:name w:val="List Bullet"/>
    <w:basedOn w:val="Normal"/>
    <w:uiPriority w:val="1"/>
    <w:unhideWhenUsed/>
    <w:qFormat/>
    <w:rsid w:val="00F56D11"/>
    <w:pPr>
      <w:numPr>
        <w:numId w:val="1"/>
      </w:numPr>
      <w:spacing w:after="60" w:line="288" w:lineRule="auto"/>
    </w:pPr>
    <w:rPr>
      <w:color w:val="404040" w:themeColor="text1" w:themeTint="BF"/>
      <w:sz w:val="18"/>
      <w:szCs w:val="18"/>
      <w:lang w:eastAsia="ja-JP"/>
    </w:rPr>
  </w:style>
  <w:style w:type="paragraph" w:styleId="ListParagraph">
    <w:name w:val="List Paragraph"/>
    <w:basedOn w:val="Normal"/>
    <w:uiPriority w:val="34"/>
    <w:unhideWhenUsed/>
    <w:qFormat/>
    <w:rsid w:val="00F56D11"/>
    <w:pPr>
      <w:spacing w:after="180" w:line="288" w:lineRule="auto"/>
      <w:ind w:left="720"/>
      <w:contextualSpacing/>
    </w:pPr>
    <w:rPr>
      <w:color w:val="404040" w:themeColor="text1" w:themeTint="BF"/>
      <w:sz w:val="18"/>
      <w:szCs w:val="18"/>
      <w:lang w:eastAsia="ja-JP"/>
    </w:rPr>
  </w:style>
  <w:style w:type="paragraph" w:styleId="NormalWeb">
    <w:name w:val="Normal (Web)"/>
    <w:basedOn w:val="Normal"/>
    <w:link w:val="NormalWebChar"/>
    <w:uiPriority w:val="99"/>
    <w:unhideWhenUsed/>
    <w:rsid w:val="00F56D11"/>
    <w:pPr>
      <w:spacing w:before="100" w:beforeAutospacing="1" w:after="115" w:line="240" w:lineRule="auto"/>
    </w:pPr>
    <w:rPr>
      <w:rFonts w:ascii="Times New Roman" w:eastAsia="Times New Roman" w:hAnsi="Times New Roman" w:cs="Times New Roman"/>
      <w:sz w:val="24"/>
      <w:szCs w:val="24"/>
    </w:rPr>
  </w:style>
  <w:style w:type="paragraph" w:customStyle="1" w:styleId="Title1">
    <w:name w:val="Title 1"/>
    <w:basedOn w:val="NormalWeb"/>
    <w:link w:val="Title1Char"/>
    <w:qFormat/>
    <w:rsid w:val="00F56D11"/>
    <w:pPr>
      <w:spacing w:before="0" w:beforeAutospacing="0" w:after="0"/>
      <w:jc w:val="center"/>
    </w:pPr>
    <w:rPr>
      <w:rFonts w:ascii="Calibri" w:hAnsi="Calibri" w:cs="Arial"/>
      <w:bCs/>
      <w:color w:val="002060"/>
      <w:sz w:val="36"/>
    </w:rPr>
  </w:style>
  <w:style w:type="paragraph" w:customStyle="1" w:styleId="Title2">
    <w:name w:val="Title 2"/>
    <w:basedOn w:val="NormalWeb"/>
    <w:link w:val="Title2Char"/>
    <w:qFormat/>
    <w:rsid w:val="00F56D11"/>
    <w:pPr>
      <w:spacing w:before="0" w:beforeAutospacing="0" w:after="0"/>
      <w:jc w:val="center"/>
    </w:pPr>
    <w:rPr>
      <w:rFonts w:ascii="Calibri" w:hAnsi="Calibri" w:cs="Arial"/>
      <w:bCs/>
      <w:color w:val="002060"/>
      <w:sz w:val="20"/>
    </w:rPr>
  </w:style>
  <w:style w:type="character" w:customStyle="1" w:styleId="NormalWebChar">
    <w:name w:val="Normal (Web) Char"/>
    <w:basedOn w:val="DefaultParagraphFont"/>
    <w:link w:val="NormalWeb"/>
    <w:uiPriority w:val="99"/>
    <w:rsid w:val="00F56D11"/>
    <w:rPr>
      <w:rFonts w:ascii="Times New Roman" w:eastAsia="Times New Roman" w:hAnsi="Times New Roman" w:cs="Times New Roman"/>
      <w:sz w:val="24"/>
      <w:szCs w:val="24"/>
    </w:rPr>
  </w:style>
  <w:style w:type="character" w:customStyle="1" w:styleId="Title1Char">
    <w:name w:val="Title 1 Char"/>
    <w:basedOn w:val="NormalWebChar"/>
    <w:link w:val="Title1"/>
    <w:rsid w:val="00F56D11"/>
    <w:rPr>
      <w:rFonts w:ascii="Calibri" w:eastAsia="Times New Roman" w:hAnsi="Calibri" w:cs="Arial"/>
      <w:bCs/>
      <w:color w:val="002060"/>
      <w:sz w:val="36"/>
      <w:szCs w:val="24"/>
    </w:rPr>
  </w:style>
  <w:style w:type="paragraph" w:customStyle="1" w:styleId="Bulleteditems">
    <w:name w:val="Bulleted items"/>
    <w:basedOn w:val="NormalWeb"/>
    <w:link w:val="BulleteditemsChar"/>
    <w:qFormat/>
    <w:rsid w:val="00F56D11"/>
    <w:pPr>
      <w:numPr>
        <w:numId w:val="3"/>
      </w:numPr>
      <w:spacing w:after="0"/>
      <w:jc w:val="both"/>
    </w:pPr>
    <w:rPr>
      <w:rFonts w:ascii="Calibri" w:hAnsi="Calibri" w:cs="Arial"/>
    </w:rPr>
  </w:style>
  <w:style w:type="character" w:customStyle="1" w:styleId="Title2Char">
    <w:name w:val="Title 2 Char"/>
    <w:basedOn w:val="NormalWebChar"/>
    <w:link w:val="Title2"/>
    <w:rsid w:val="00F56D11"/>
    <w:rPr>
      <w:rFonts w:ascii="Calibri" w:eastAsia="Times New Roman" w:hAnsi="Calibri" w:cs="Arial"/>
      <w:bCs/>
      <w:color w:val="002060"/>
      <w:sz w:val="20"/>
      <w:szCs w:val="24"/>
    </w:rPr>
  </w:style>
  <w:style w:type="character" w:customStyle="1" w:styleId="BulleteditemsChar">
    <w:name w:val="Bulleted items Char"/>
    <w:basedOn w:val="NormalWebChar"/>
    <w:link w:val="Bulleteditems"/>
    <w:rsid w:val="00F56D11"/>
    <w:rPr>
      <w:rFonts w:ascii="Calibri" w:eastAsia="Times New Roman" w:hAnsi="Calibri" w:cs="Arial"/>
      <w:sz w:val="24"/>
      <w:szCs w:val="24"/>
    </w:rPr>
  </w:style>
  <w:style w:type="character" w:styleId="Hyperlink">
    <w:name w:val="Hyperlink"/>
    <w:basedOn w:val="DefaultParagraphFont"/>
    <w:uiPriority w:val="99"/>
    <w:unhideWhenUsed/>
    <w:rsid w:val="008529CA"/>
    <w:rPr>
      <w:color w:val="0563C1" w:themeColor="hyperlink"/>
      <w:u w:val="single"/>
    </w:rPr>
  </w:style>
  <w:style w:type="character" w:styleId="UnresolvedMention">
    <w:name w:val="Unresolved Mention"/>
    <w:basedOn w:val="DefaultParagraphFont"/>
    <w:uiPriority w:val="99"/>
    <w:semiHidden/>
    <w:unhideWhenUsed/>
    <w:rsid w:val="00852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337361A38A740B726C6D76FB0D39C" ma:contentTypeVersion="4" ma:contentTypeDescription="Create a new document." ma:contentTypeScope="" ma:versionID="9f06b7490182f61ce91317c76a5ca4b9">
  <xsd:schema xmlns:xsd="http://www.w3.org/2001/XMLSchema" xmlns:xs="http://www.w3.org/2001/XMLSchema" xmlns:p="http://schemas.microsoft.com/office/2006/metadata/properties" xmlns:ns2="63e7af12-3f83-4625-9276-c08245b81684" targetNamespace="http://schemas.microsoft.com/office/2006/metadata/properties" ma:root="true" ma:fieldsID="981f3f20d322f62dff8fbb012de35af2" ns2:_="">
    <xsd:import namespace="63e7af12-3f83-4625-9276-c08245b81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af12-3f83-4625-9276-c08245b8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AC0DB-CBEF-40F0-962E-F1DCFEECBDBD}"/>
</file>

<file path=customXml/itemProps2.xml><?xml version="1.0" encoding="utf-8"?>
<ds:datastoreItem xmlns:ds="http://schemas.openxmlformats.org/officeDocument/2006/customXml" ds:itemID="{C5B0BA73-17B5-45AF-8DD8-190CFF9EF9AA}"/>
</file>

<file path=customXml/itemProps3.xml><?xml version="1.0" encoding="utf-8"?>
<ds:datastoreItem xmlns:ds="http://schemas.openxmlformats.org/officeDocument/2006/customXml" ds:itemID="{1D4C06CC-3C2E-46BF-8729-19596E5726B6}"/>
</file>

<file path=docProps/app.xml><?xml version="1.0" encoding="utf-8"?>
<Properties xmlns="http://schemas.openxmlformats.org/officeDocument/2006/extended-properties" xmlns:vt="http://schemas.openxmlformats.org/officeDocument/2006/docPropsVTypes">
  <Template>Normal</Template>
  <TotalTime>29</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Colbourne</dc:creator>
  <cp:keywords/>
  <dc:description/>
  <cp:lastModifiedBy>Brooke Colbourne</cp:lastModifiedBy>
  <cp:revision>6</cp:revision>
  <dcterms:created xsi:type="dcterms:W3CDTF">2021-02-18T18:32:00Z</dcterms:created>
  <dcterms:modified xsi:type="dcterms:W3CDTF">2021-02-18T19:06:00Z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0x01010081A337361A38A740B726C6D76FB0D39C</vt:lpwstr>
  </property>
</Properties>
</file>